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3D8D" w:rsidRDefault="00FC12BD">
      <w:pPr>
        <w:jc w:val="center"/>
        <w:rPr>
          <w:lang w:val="hu-HU"/>
        </w:rPr>
      </w:pPr>
      <w:r>
        <w:rPr>
          <w:lang w:val="hu-HU"/>
        </w:rPr>
        <w:t>KONCEPCIÓ</w:t>
      </w:r>
    </w:p>
    <w:p w:rsidR="00B53D8D" w:rsidRDefault="00B53D8D">
      <w:pPr>
        <w:jc w:val="center"/>
        <w:rPr>
          <w:lang w:val="hu-HU"/>
        </w:rPr>
      </w:pPr>
    </w:p>
    <w:p w:rsidR="00B53D8D" w:rsidRDefault="00FC12BD">
      <w:pPr>
        <w:jc w:val="center"/>
        <w:rPr>
          <w:lang w:val="hu-HU"/>
        </w:rPr>
      </w:pPr>
      <w:proofErr w:type="gramStart"/>
      <w:r>
        <w:rPr>
          <w:lang w:val="hu-HU"/>
        </w:rPr>
        <w:t>A  tudománytörténet</w:t>
      </w:r>
      <w:proofErr w:type="gramEnd"/>
      <w:r>
        <w:rPr>
          <w:lang w:val="hu-HU"/>
        </w:rPr>
        <w:t xml:space="preserve"> és tudományfilozófia oktatásáról és művelésről az ELTE TTK-n</w:t>
      </w:r>
    </w:p>
    <w:p w:rsidR="00B53D8D" w:rsidRDefault="00B53D8D">
      <w:pPr>
        <w:rPr>
          <w:lang w:val="hu-HU"/>
        </w:rPr>
      </w:pPr>
    </w:p>
    <w:p w:rsidR="00B53D8D" w:rsidRDefault="00B53D8D">
      <w:pPr>
        <w:rPr>
          <w:lang w:val="hu-HU"/>
        </w:rPr>
      </w:pPr>
    </w:p>
    <w:p w:rsidR="00B53D8D" w:rsidRDefault="00FC12BD">
      <w:pPr>
        <w:numPr>
          <w:ilvl w:val="0"/>
          <w:numId w:val="2"/>
        </w:numPr>
        <w:rPr>
          <w:lang w:val="hu-HU"/>
        </w:rPr>
      </w:pPr>
      <w:r>
        <w:rPr>
          <w:lang w:val="hu-HU"/>
        </w:rPr>
        <w:t xml:space="preserve">Történeti háttér  </w:t>
      </w:r>
    </w:p>
    <w:p w:rsidR="00B53D8D" w:rsidRDefault="00B53D8D">
      <w:pPr>
        <w:rPr>
          <w:lang w:val="hu-HU"/>
        </w:rPr>
      </w:pPr>
    </w:p>
    <w:p w:rsidR="00B53D8D" w:rsidRDefault="00FC12BD">
      <w:pPr>
        <w:jc w:val="both"/>
        <w:rPr>
          <w:lang w:val="hu-HU"/>
        </w:rPr>
      </w:pPr>
      <w:r>
        <w:rPr>
          <w:lang w:val="hu-HU"/>
        </w:rPr>
        <w:tab/>
        <w:t xml:space="preserve">Az ELTE TTK az 1990-es évek közepén alakította meg a Tudománytörténet és Tudományfilozófia Tanszéket a </w:t>
      </w:r>
      <w:proofErr w:type="spellStart"/>
      <w:r>
        <w:rPr>
          <w:lang w:val="hu-HU"/>
        </w:rPr>
        <w:t>tanárszakos</w:t>
      </w:r>
      <w:proofErr w:type="spellEnd"/>
      <w:r>
        <w:rPr>
          <w:lang w:val="hu-HU"/>
        </w:rPr>
        <w:t xml:space="preserve"> és a diszciplináris szakokon tanuló hallgatók társadalomtudományi illetve tudománytörténeti tárgyú oktatásának céljából </w:t>
      </w:r>
      <w:proofErr w:type="gramStart"/>
      <w:r>
        <w:rPr>
          <w:lang w:val="hu-HU"/>
        </w:rPr>
        <w:t>és  a</w:t>
      </w:r>
      <w:proofErr w:type="gramEnd"/>
      <w:r>
        <w:rPr>
          <w:lang w:val="hu-HU"/>
        </w:rPr>
        <w:t xml:space="preserve"> természet-tudományok történeti és filozófiai kérdéseivel foglalkozó kutatások művelése érdekében. </w:t>
      </w:r>
    </w:p>
    <w:p w:rsidR="00B53D8D" w:rsidRDefault="00FC12BD">
      <w:pPr>
        <w:jc w:val="both"/>
        <w:rPr>
          <w:lang w:val="hu-HU"/>
        </w:rPr>
      </w:pPr>
      <w:r>
        <w:rPr>
          <w:lang w:val="hu-HU"/>
        </w:rPr>
        <w:tab/>
        <w:t xml:space="preserve">A Tanszék nem tagozódott be a tanszékcsoporti/intézeti struktúrába, hanem a dékán közvetlen irányítása alatt működött. </w:t>
      </w:r>
    </w:p>
    <w:p w:rsidR="00B53D8D" w:rsidRDefault="00FC12BD">
      <w:pPr>
        <w:jc w:val="both"/>
        <w:rPr>
          <w:lang w:val="hu-HU"/>
        </w:rPr>
      </w:pPr>
      <w:r>
        <w:rPr>
          <w:lang w:val="hu-HU"/>
        </w:rPr>
        <w:tab/>
        <w:t>A Tudománytörténet és Tudományfilozófia Tanszék oktatómunkája a hallgatók körében igen népszerű volt, és ezt sok TTK-s oktató is elismerte és tanúsította. Érdekes, tanulságos tárgyakat hirdettek meg, amelyeket sok hallgató vett fel az indexébe.</w:t>
      </w:r>
    </w:p>
    <w:p w:rsidR="00B53D8D" w:rsidRDefault="00FC12BD">
      <w:pPr>
        <w:jc w:val="both"/>
        <w:rPr>
          <w:lang w:val="hu-HU"/>
        </w:rPr>
      </w:pPr>
      <w:r>
        <w:rPr>
          <w:lang w:val="hu-HU"/>
        </w:rPr>
        <w:tab/>
        <w:t>A tanszéki oktatók tudományos teljesítménye vegyes volt. Akadt köztük, aki 30-nál több nemzetközi publikáció szerzője 100 fölötti idézettséggel, de van alig néhány nemzetközi publikációval rendelkező kolléga 10 körüli idézettséggel. A hazai publikációk és az ezekhez kapcsolódó idézetek száma ennél magasabb.</w:t>
      </w:r>
    </w:p>
    <w:p w:rsidR="00B53D8D" w:rsidRDefault="00FC12BD">
      <w:pPr>
        <w:jc w:val="both"/>
        <w:rPr>
          <w:lang w:val="hu-HU"/>
        </w:rPr>
      </w:pPr>
      <w:r>
        <w:rPr>
          <w:lang w:val="hu-HU"/>
        </w:rPr>
        <w:tab/>
        <w:t>A Tanszék oktatóállománya egyébként a legtöbb TTK-s tanszékhez viszonyítva nem volt túl nagy, a tanszékvezető mellet az elmúlt évek során összesen hat oktató működött, ha nem is egyszerre, a Tanszéken.  Közülük ketten már több évvel ezelőtt elhagyták a tanszéket, és az ELTE BTK-hoz csatlakoztak, másik két fő nemrégen vonult nyugdíjba. Utódlásukról a TTK-t ért költségvetési megszorítások miatt egyáltalán nem lehetett gondolkozni.</w:t>
      </w:r>
    </w:p>
    <w:p w:rsidR="00B53D8D" w:rsidRDefault="00B53D8D">
      <w:pPr>
        <w:jc w:val="both"/>
        <w:rPr>
          <w:lang w:val="hu-HU"/>
        </w:rPr>
      </w:pPr>
    </w:p>
    <w:p w:rsidR="00B53D8D" w:rsidRDefault="00B53D8D">
      <w:pPr>
        <w:rPr>
          <w:lang w:val="hu-HU"/>
        </w:rPr>
      </w:pPr>
    </w:p>
    <w:p w:rsidR="00B53D8D" w:rsidRDefault="00FC12BD">
      <w:pPr>
        <w:numPr>
          <w:ilvl w:val="0"/>
          <w:numId w:val="2"/>
        </w:numPr>
        <w:rPr>
          <w:lang w:val="hu-HU"/>
        </w:rPr>
      </w:pPr>
      <w:r>
        <w:rPr>
          <w:lang w:val="hu-HU"/>
        </w:rPr>
        <w:t xml:space="preserve">A jelen helyzet értékelése </w:t>
      </w:r>
    </w:p>
    <w:p w:rsidR="00B53D8D" w:rsidRDefault="00B53D8D">
      <w:pPr>
        <w:jc w:val="both"/>
        <w:rPr>
          <w:lang w:val="hu-HU"/>
        </w:rPr>
      </w:pPr>
    </w:p>
    <w:p w:rsidR="00B53D8D" w:rsidRDefault="00FC12BD">
      <w:pPr>
        <w:jc w:val="both"/>
        <w:rPr>
          <w:lang w:val="hu-HU"/>
        </w:rPr>
      </w:pPr>
      <w:r>
        <w:rPr>
          <w:lang w:val="hu-HU"/>
        </w:rPr>
        <w:tab/>
        <w:t xml:space="preserve">2015. dec. 31-én a Tanszék személyi állománya 3 fő volt. A korábbi tanszékvezető (akinek 2015 nyarán járt le a kinevezése) az elmúlt időszakban az év felében külföldi útjai következtében fizetés nélküli szabadságon volt. Egy fő csillagász végzettségű adjunktus mellett egy adminisztrátor dolgozott még a Tanszéken. (Egy további, informatikus végzettségű kolléga jelenleg az ELTE IK állományában van). </w:t>
      </w:r>
    </w:p>
    <w:p w:rsidR="00B53D8D" w:rsidRDefault="00FC12BD">
      <w:pPr>
        <w:jc w:val="both"/>
        <w:rPr>
          <w:lang w:val="hu-HU"/>
        </w:rPr>
      </w:pPr>
      <w:r>
        <w:rPr>
          <w:lang w:val="hu-HU"/>
        </w:rPr>
        <w:tab/>
        <w:t xml:space="preserve">Mivel előre látható volt, hogy a megfogyatkozott a személyi állománnyal a Tanszéket a korábbi szervezeti struktúrában nem lehet fenntartani, a Karon régóta folyt a gondolkodás arról, hogy miképpen oldható meg legjobban a meglévő oktatók helyzete, egyúttal hogyan biztosítható az általuk végzett oktatás. (Itt meg kell említenünk, hogy az elmúlt időszakban nyugdíjba vonult kollégák is láttak el önkéntesen komoly oktatási feladatot). Több lehetséges változatról tárgyalt a Tanszék, az Intézetek és a Kar vezetése. </w:t>
      </w:r>
    </w:p>
    <w:p w:rsidR="00B53D8D" w:rsidRDefault="00FC12BD">
      <w:pPr>
        <w:jc w:val="both"/>
        <w:rPr>
          <w:lang w:val="hu-HU"/>
        </w:rPr>
      </w:pPr>
      <w:r>
        <w:rPr>
          <w:lang w:val="hu-HU"/>
        </w:rPr>
        <w:tab/>
        <w:t>2016. február 1-től érvényes az a konszenzussal született döntés, hogy a korábbi tanszékvezető – élő tudományos és oktatási kapcsolatai miatt – a Biológiai Intézet Etológia Tanszékén dolgozik egyetemi tanárként, a másik, jelenleg állományban lévő, csillagász végzettségű kolléga pedig az FFI Csillagászati Tanszékén adjunktusi munkakörben. Az adminisztrátor a kancellári szervezetben a Gazdasági Hivatalban kapott munkalehetőséget. A Tanszék személyi állománya nulla fő, a TTK SZMR újraírásakor a szervezeti egységek között nem tudjuk szerepeltetni.</w:t>
      </w:r>
    </w:p>
    <w:p w:rsidR="00B53D8D" w:rsidRDefault="00B53D8D">
      <w:pPr>
        <w:jc w:val="both"/>
        <w:rPr>
          <w:lang w:val="hu-HU"/>
        </w:rPr>
      </w:pPr>
    </w:p>
    <w:p w:rsidR="00B53D8D" w:rsidRDefault="00B53D8D">
      <w:pPr>
        <w:rPr>
          <w:lang w:val="hu-HU"/>
        </w:rPr>
      </w:pPr>
    </w:p>
    <w:p w:rsidR="00B53D8D" w:rsidRDefault="00B53D8D">
      <w:pPr>
        <w:rPr>
          <w:lang w:val="hu-HU"/>
        </w:rPr>
      </w:pPr>
    </w:p>
    <w:p w:rsidR="00B53D8D" w:rsidRDefault="00B53D8D">
      <w:pPr>
        <w:rPr>
          <w:lang w:val="hu-HU"/>
        </w:rPr>
      </w:pPr>
    </w:p>
    <w:p w:rsidR="00B53D8D" w:rsidRDefault="00B53D8D">
      <w:pPr>
        <w:rPr>
          <w:lang w:val="hu-HU"/>
        </w:rPr>
      </w:pPr>
    </w:p>
    <w:p w:rsidR="00B53D8D" w:rsidRDefault="00FC12BD">
      <w:pPr>
        <w:numPr>
          <w:ilvl w:val="0"/>
          <w:numId w:val="2"/>
        </w:numPr>
        <w:rPr>
          <w:lang w:val="hu-HU"/>
        </w:rPr>
      </w:pPr>
      <w:r>
        <w:rPr>
          <w:lang w:val="hu-HU"/>
        </w:rPr>
        <w:lastRenderedPageBreak/>
        <w:t xml:space="preserve"> Előretekintés</w:t>
      </w:r>
    </w:p>
    <w:p w:rsidR="00B53D8D" w:rsidRDefault="00B53D8D">
      <w:pPr>
        <w:rPr>
          <w:lang w:val="hu-HU"/>
        </w:rPr>
      </w:pPr>
    </w:p>
    <w:p w:rsidR="00B53D8D" w:rsidRDefault="00FC12BD">
      <w:pPr>
        <w:jc w:val="both"/>
        <w:rPr>
          <w:lang w:val="hu-HU"/>
        </w:rPr>
      </w:pPr>
      <w:r>
        <w:rPr>
          <w:lang w:val="hu-HU"/>
        </w:rPr>
        <w:tab/>
        <w:t>Ebben a helyzetben a legsürgősebben megoldandó feladat a Tanszék által korábban ellátott oktatási feladat legalább egy részének továbbvitele. Második lépésben az oktatási portfólió bővítésére lesz szükség. Végül</w:t>
      </w:r>
      <w:proofErr w:type="gramStart"/>
      <w:r>
        <w:rPr>
          <w:lang w:val="hu-HU"/>
        </w:rPr>
        <w:t>,  harmadik</w:t>
      </w:r>
      <w:proofErr w:type="gramEnd"/>
      <w:r>
        <w:rPr>
          <w:lang w:val="hu-HU"/>
        </w:rPr>
        <w:t xml:space="preserve"> lépésként a középtávú jövő intézkedései jönnek szóba.</w:t>
      </w:r>
    </w:p>
    <w:p w:rsidR="00B53D8D" w:rsidRDefault="00B53D8D">
      <w:pPr>
        <w:jc w:val="both"/>
        <w:rPr>
          <w:lang w:val="hu-HU"/>
        </w:rPr>
      </w:pPr>
    </w:p>
    <w:p w:rsidR="00B53D8D" w:rsidRDefault="00FC12BD">
      <w:pPr>
        <w:numPr>
          <w:ilvl w:val="0"/>
          <w:numId w:val="3"/>
        </w:numPr>
        <w:jc w:val="both"/>
        <w:rPr>
          <w:lang w:val="hu-HU"/>
        </w:rPr>
      </w:pPr>
      <w:r>
        <w:rPr>
          <w:lang w:val="hu-HU"/>
        </w:rPr>
        <w:t xml:space="preserve">Az első lépés érdekében eddig az az intézkedés született, hogy a TTK-n jan. 1-től új szervezeti egységben dolgozó két oktató az általa fontosnak, vállalhatónak ítélt korábbi óráit mostani tanszékük hirdetésében is megtarthassa. Az érintettek ezt vállalták, a tanszékvezetők megadták hozzá beleegyezésüket. </w:t>
      </w:r>
    </w:p>
    <w:p w:rsidR="00B53D8D" w:rsidRDefault="00FC12BD">
      <w:pPr>
        <w:numPr>
          <w:ilvl w:val="0"/>
          <w:numId w:val="3"/>
        </w:numPr>
        <w:jc w:val="both"/>
        <w:rPr>
          <w:lang w:val="hu-HU"/>
        </w:rPr>
      </w:pPr>
      <w:r>
        <w:rPr>
          <w:lang w:val="hu-HU"/>
        </w:rPr>
        <w:t xml:space="preserve">Az oktatás bővíthető lenne külső előadókkal. Közöttük lehetnek más intézményben dolgozó kollégák vagy korábban nálunk dolgozó, már nyugdíjas munkatársaink. Egyeztetés alatt van, hogy milyen szervezeti formában hirdesse meg a Kar a potenciális külső előadók által vállalt tudománytörténeti vagy filozófiai jellegű kurzusokat. Jelenleg az tűnik legjobbnak, ha ezek a hirdetések az ilyen témával foglalkozó belső munkatársakon, mint kapcsolattartókon keresztül történnek, annak a tanszéknek a felterjesztésében, ahol a kapcsolattartók dolgoznak. </w:t>
      </w:r>
    </w:p>
    <w:p w:rsidR="00B53D8D" w:rsidRDefault="00FC12BD">
      <w:pPr>
        <w:jc w:val="both"/>
      </w:pPr>
      <w:r>
        <w:rPr>
          <w:lang w:val="hu-HU"/>
        </w:rPr>
        <w:t xml:space="preserve">Ugyancsak bővíthető lenne a kurzuskínálat az ELTE más karain (tipikusan: BTK) dolgozó, hasonló tudományokat művelő kollégák által tartott órákkal. Erről most zajlanak a megbeszélések. Itt elsősorban nem általános filozófiai, hanem természettudománnyal kapcsolatos </w:t>
      </w:r>
      <w:proofErr w:type="gramStart"/>
      <w:r>
        <w:rPr>
          <w:lang w:val="hu-HU"/>
        </w:rPr>
        <w:t>tematikájú  tantárgyakra</w:t>
      </w:r>
      <w:proofErr w:type="gramEnd"/>
      <w:r>
        <w:rPr>
          <w:lang w:val="hu-HU"/>
        </w:rPr>
        <w:t xml:space="preserve"> gondolunk. Szerencsés lenne, az ezen órák többsége számára is a lágymányosi kampusz szolgálna helyszínül.</w:t>
      </w:r>
    </w:p>
    <w:p w:rsidR="00B53D8D" w:rsidRDefault="00FC12BD">
      <w:pPr>
        <w:numPr>
          <w:ilvl w:val="0"/>
          <w:numId w:val="3"/>
        </w:numPr>
        <w:jc w:val="both"/>
        <w:rPr>
          <w:lang w:val="hu-HU"/>
        </w:rPr>
      </w:pPr>
      <w:r>
        <w:rPr>
          <w:lang w:val="hu-HU"/>
        </w:rPr>
        <w:t xml:space="preserve">A legtöbb gondolkodást a hosszú távú megoldás megkeresése igényli. Ehhez a Kar vezetése szívesen látja az ötleteket. Az elkövetkező években előreláthatólag a személyi állomány bővítésére (azaz a korábbi szint visszaállítására) nem lesz lehetőség. Ezért először olyan megoldásokon </w:t>
      </w:r>
      <w:proofErr w:type="gramStart"/>
      <w:r>
        <w:rPr>
          <w:lang w:val="hu-HU"/>
        </w:rPr>
        <w:t>kell</w:t>
      </w:r>
      <w:proofErr w:type="gramEnd"/>
      <w:r>
        <w:rPr>
          <w:lang w:val="hu-HU"/>
        </w:rPr>
        <w:t xml:space="preserve"> gondolkozzunk, amelyik az állandó létszám növelése nélkül segít a problémák mérséklésén.</w:t>
      </w:r>
    </w:p>
    <w:p w:rsidR="00B53D8D" w:rsidRDefault="00FC12BD">
      <w:pPr>
        <w:jc w:val="both"/>
        <w:rPr>
          <w:lang w:val="hu-HU"/>
        </w:rPr>
      </w:pPr>
      <w:r>
        <w:rPr>
          <w:lang w:val="hu-HU"/>
        </w:rPr>
        <w:t xml:space="preserve">Egy érdekes lehetőség lenne azon a TTK-s oktatók és kutatók tudásának felhasználása, akik szaktudományos </w:t>
      </w:r>
      <w:proofErr w:type="gramStart"/>
      <w:r>
        <w:rPr>
          <w:lang w:val="hu-HU"/>
        </w:rPr>
        <w:t>munkáig mellett</w:t>
      </w:r>
      <w:proofErr w:type="gramEnd"/>
      <w:r>
        <w:rPr>
          <w:lang w:val="hu-HU"/>
        </w:rPr>
        <w:t xml:space="preserve"> komoly búvárkodást végeztek vagy végeznének a tudománytörténet vagy természettudomány filozófia területén. El lehetne gondolkozni például egy olyan kari programon, amely stimulálja az ilyen irányú tudományos erőfeszítéseket, valamint ezek oktatásiban való megjelenítését. </w:t>
      </w:r>
    </w:p>
    <w:p w:rsidR="00B53D8D" w:rsidRDefault="00FC12BD">
      <w:pPr>
        <w:jc w:val="both"/>
        <w:rPr>
          <w:lang w:val="hu-HU"/>
        </w:rPr>
      </w:pPr>
      <w:r>
        <w:rPr>
          <w:lang w:val="hu-HU"/>
        </w:rPr>
        <w:t xml:space="preserve">Megvizsgálandó az az ötlet is, hogy a szaktárgyi órák mellett </w:t>
      </w:r>
      <w:proofErr w:type="spellStart"/>
      <w:r>
        <w:rPr>
          <w:lang w:val="hu-HU"/>
        </w:rPr>
        <w:t>tudományfilózófiai</w:t>
      </w:r>
      <w:proofErr w:type="spellEnd"/>
      <w:r>
        <w:rPr>
          <w:lang w:val="hu-HU"/>
        </w:rPr>
        <w:t xml:space="preserve"> </w:t>
      </w:r>
      <w:proofErr w:type="gramStart"/>
      <w:r>
        <w:rPr>
          <w:lang w:val="hu-HU"/>
        </w:rPr>
        <w:t>előadás(</w:t>
      </w:r>
      <w:proofErr w:type="gramEnd"/>
      <w:r>
        <w:rPr>
          <w:lang w:val="hu-HU"/>
        </w:rPr>
        <w:t>oka)t is építsünk képzési terveinkbe. Ehhez a tanárszakon lévő „fizikatörténet” előadás jó mintául szolgálhat.</w:t>
      </w:r>
    </w:p>
    <w:p w:rsidR="00B53D8D" w:rsidRDefault="00B53D8D">
      <w:pPr>
        <w:jc w:val="both"/>
        <w:rPr>
          <w:lang w:val="hu-HU"/>
        </w:rPr>
      </w:pPr>
    </w:p>
    <w:p w:rsidR="00B53D8D" w:rsidRDefault="00B53D8D">
      <w:pPr>
        <w:jc w:val="both"/>
        <w:rPr>
          <w:lang w:val="hu-HU"/>
        </w:rPr>
      </w:pPr>
    </w:p>
    <w:p w:rsidR="00B53D8D" w:rsidRDefault="006E2187">
      <w:pPr>
        <w:jc w:val="both"/>
        <w:rPr>
          <w:lang w:val="hu-HU"/>
        </w:rPr>
      </w:pPr>
      <w:r>
        <w:rPr>
          <w:lang w:val="hu-HU"/>
        </w:rPr>
        <w:t>Budapest, 2016. febr</w:t>
      </w:r>
      <w:r w:rsidR="00107B93">
        <w:rPr>
          <w:lang w:val="hu-HU"/>
        </w:rPr>
        <w:t>uár 18</w:t>
      </w:r>
      <w:r w:rsidR="00FC12BD">
        <w:rPr>
          <w:lang w:val="hu-HU"/>
        </w:rPr>
        <w:t>.</w:t>
      </w:r>
    </w:p>
    <w:p w:rsidR="00D92D5C" w:rsidRDefault="00D92D5C">
      <w:pPr>
        <w:jc w:val="both"/>
        <w:rPr>
          <w:lang w:val="hu-HU"/>
        </w:rPr>
      </w:pPr>
    </w:p>
    <w:p w:rsidR="00D92D5C" w:rsidRDefault="00D92D5C">
      <w:pPr>
        <w:jc w:val="both"/>
        <w:rPr>
          <w:lang w:val="hu-HU"/>
        </w:rPr>
      </w:pPr>
      <w:r>
        <w:rPr>
          <w:lang w:val="hu-HU"/>
        </w:rPr>
        <w:tab/>
      </w:r>
      <w:r>
        <w:rPr>
          <w:lang w:val="hu-HU"/>
        </w:rPr>
        <w:tab/>
      </w:r>
      <w:r>
        <w:rPr>
          <w:lang w:val="hu-HU"/>
        </w:rPr>
        <w:tab/>
      </w:r>
      <w:r>
        <w:rPr>
          <w:lang w:val="hu-HU"/>
        </w:rPr>
        <w:tab/>
      </w:r>
      <w:r>
        <w:rPr>
          <w:lang w:val="hu-HU"/>
        </w:rPr>
        <w:tab/>
      </w:r>
      <w:r>
        <w:rPr>
          <w:lang w:val="hu-HU"/>
        </w:rPr>
        <w:tab/>
      </w:r>
      <w:r>
        <w:rPr>
          <w:lang w:val="hu-HU"/>
        </w:rPr>
        <w:tab/>
      </w:r>
      <w:r>
        <w:rPr>
          <w:lang w:val="hu-HU"/>
        </w:rPr>
        <w:tab/>
      </w:r>
      <w:r>
        <w:rPr>
          <w:lang w:val="hu-HU"/>
        </w:rPr>
        <w:tab/>
      </w:r>
      <w:r w:rsidR="006E2187">
        <w:rPr>
          <w:lang w:val="hu-HU"/>
        </w:rPr>
        <w:t xml:space="preserve">Surján Péter </w:t>
      </w:r>
      <w:r w:rsidR="00CF2480">
        <w:rPr>
          <w:lang w:val="hu-HU"/>
        </w:rPr>
        <w:t>sk.</w:t>
      </w:r>
      <w:bookmarkStart w:id="0" w:name="_GoBack"/>
      <w:bookmarkEnd w:id="0"/>
    </w:p>
    <w:p w:rsidR="00D92D5C" w:rsidRDefault="00D92D5C">
      <w:pPr>
        <w:jc w:val="both"/>
        <w:rPr>
          <w:lang w:val="hu-HU"/>
        </w:rPr>
      </w:pPr>
      <w:r>
        <w:rPr>
          <w:lang w:val="hu-HU"/>
        </w:rPr>
        <w:tab/>
      </w:r>
      <w:r>
        <w:rPr>
          <w:lang w:val="hu-HU"/>
        </w:rPr>
        <w:tab/>
      </w:r>
      <w:r>
        <w:rPr>
          <w:lang w:val="hu-HU"/>
        </w:rPr>
        <w:tab/>
      </w:r>
      <w:r>
        <w:rPr>
          <w:lang w:val="hu-HU"/>
        </w:rPr>
        <w:tab/>
      </w:r>
      <w:r>
        <w:rPr>
          <w:lang w:val="hu-HU"/>
        </w:rPr>
        <w:tab/>
      </w:r>
      <w:r>
        <w:rPr>
          <w:lang w:val="hu-HU"/>
        </w:rPr>
        <w:tab/>
      </w:r>
      <w:r>
        <w:rPr>
          <w:lang w:val="hu-HU"/>
        </w:rPr>
        <w:tab/>
      </w:r>
      <w:r>
        <w:rPr>
          <w:lang w:val="hu-HU"/>
        </w:rPr>
        <w:tab/>
      </w:r>
      <w:r>
        <w:rPr>
          <w:lang w:val="hu-HU"/>
        </w:rPr>
        <w:tab/>
      </w:r>
      <w:proofErr w:type="gramStart"/>
      <w:r>
        <w:rPr>
          <w:lang w:val="hu-HU"/>
        </w:rPr>
        <w:t>dékán</w:t>
      </w:r>
      <w:proofErr w:type="gramEnd"/>
    </w:p>
    <w:p w:rsidR="00B53D8D" w:rsidRDefault="00B53D8D">
      <w:pPr>
        <w:jc w:val="both"/>
        <w:rPr>
          <w:lang w:val="hu-HU"/>
        </w:rPr>
      </w:pPr>
    </w:p>
    <w:sectPr w:rsidR="00B53D8D">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134" w:header="0" w:footer="0" w:gutter="0"/>
      <w:cols w:space="708"/>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0325" w:rsidRDefault="007C0325" w:rsidP="006D59E5">
      <w:r>
        <w:separator/>
      </w:r>
    </w:p>
  </w:endnote>
  <w:endnote w:type="continuationSeparator" w:id="0">
    <w:p w:rsidR="007C0325" w:rsidRDefault="007C0325" w:rsidP="006D59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Liberation Serif">
    <w:altName w:val="Times New Roman"/>
    <w:charset w:val="01"/>
    <w:family w:val="roman"/>
    <w:pitch w:val="variable"/>
  </w:font>
  <w:font w:name="WenQuanYi Zen Hei Sharp">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Liberation Sans">
    <w:altName w:val="Arial"/>
    <w:charset w:val="01"/>
    <w:family w:val="swiss"/>
    <w:pitch w:val="variable"/>
  </w:font>
  <w:font w:name="Times New Roman">
    <w:panose1 w:val="02020603050405020304"/>
    <w:charset w:val="EE"/>
    <w:family w:val="roman"/>
    <w:pitch w:val="variable"/>
    <w:sig w:usb0="E0002EFF" w:usb1="C0007843" w:usb2="00000009" w:usb3="00000000" w:csb0="000001FF" w:csb1="00000000"/>
  </w:font>
  <w:font w:name="Mangal">
    <w:altName w:val="Cambria Math"/>
    <w:panose1 w:val="02040503050203030202"/>
    <w:charset w:val="01"/>
    <w:family w:val="roman"/>
    <w:notTrueType/>
    <w:pitch w:val="variable"/>
    <w:sig w:usb0="00002000" w:usb1="00000000" w:usb2="00000000" w:usb3="00000000" w:csb0="0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59E5" w:rsidRDefault="006D59E5">
    <w:pPr>
      <w:pStyle w:val="ll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59E5" w:rsidRDefault="006D59E5">
    <w:pPr>
      <w:pStyle w:val="llb"/>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59E5" w:rsidRDefault="006D59E5">
    <w:pPr>
      <w:pStyle w:val="ll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0325" w:rsidRDefault="007C0325" w:rsidP="006D59E5">
      <w:r>
        <w:separator/>
      </w:r>
    </w:p>
  </w:footnote>
  <w:footnote w:type="continuationSeparator" w:id="0">
    <w:p w:rsidR="007C0325" w:rsidRDefault="007C0325" w:rsidP="006D59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59E5" w:rsidRDefault="006D59E5">
    <w:pPr>
      <w:pStyle w:val="lfej"/>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59E5" w:rsidRDefault="006D59E5" w:rsidP="006D59E5">
    <w:pPr>
      <w:pStyle w:val="lfej"/>
    </w:pPr>
  </w:p>
  <w:p w:rsidR="006D59E5" w:rsidRDefault="006D59E5">
    <w:pPr>
      <w:pStyle w:val="lfej"/>
    </w:pPr>
    <w:r>
      <w:t xml:space="preserve">ELTE TTK Kari </w:t>
    </w:r>
    <w:proofErr w:type="spellStart"/>
    <w:r>
      <w:t>Tanács</w:t>
    </w:r>
    <w:proofErr w:type="spellEnd"/>
    <w:r>
      <w:t xml:space="preserve"> 2016</w:t>
    </w:r>
    <w:r w:rsidRPr="003668A9">
      <w:t xml:space="preserve">. </w:t>
    </w:r>
    <w:proofErr w:type="spellStart"/>
    <w:proofErr w:type="gramStart"/>
    <w:r>
      <w:t>február</w:t>
    </w:r>
    <w:proofErr w:type="spellEnd"/>
    <w:proofErr w:type="gramEnd"/>
    <w:r>
      <w:t xml:space="preserve"> 17.</w:t>
    </w:r>
    <w:r w:rsidRPr="003668A9">
      <w:tab/>
    </w:r>
    <w:r>
      <w:tab/>
      <w:t>2</w:t>
    </w:r>
    <w:r w:rsidRPr="003668A9">
      <w:t>.</w:t>
    </w:r>
    <w:r>
      <w:t xml:space="preserve"> </w:t>
    </w:r>
    <w:proofErr w:type="spellStart"/>
    <w:r>
      <w:t>sz</w:t>
    </w:r>
    <w:proofErr w:type="spellEnd"/>
    <w:r>
      <w:t>.</w:t>
    </w:r>
    <w:r w:rsidRPr="003668A9">
      <w:t xml:space="preserve"> </w:t>
    </w:r>
    <w:proofErr w:type="spellStart"/>
    <w:r w:rsidRPr="003668A9">
      <w:t>melléklet</w:t>
    </w:r>
    <w:proofErr w:type="spellEnd"/>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59E5" w:rsidRDefault="006D59E5">
    <w:pPr>
      <w:pStyle w:val="lfej"/>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9E433C"/>
    <w:multiLevelType w:val="multilevel"/>
    <w:tmpl w:val="2F5EA1E6"/>
    <w:lvl w:ilvl="0">
      <w:start w:val="1"/>
      <w:numFmt w:val="none"/>
      <w:pStyle w:val="Cmsor1"/>
      <w:suff w:val="nothing"/>
      <w:lvlText w:val=""/>
      <w:lvlJc w:val="left"/>
      <w:pPr>
        <w:tabs>
          <w:tab w:val="num" w:pos="432"/>
        </w:tabs>
        <w:ind w:left="432" w:hanging="432"/>
      </w:pPr>
    </w:lvl>
    <w:lvl w:ilvl="1">
      <w:start w:val="1"/>
      <w:numFmt w:val="none"/>
      <w:pStyle w:val="Cmsor2"/>
      <w:suff w:val="nothing"/>
      <w:lvlText w:val=""/>
      <w:lvlJc w:val="left"/>
      <w:pPr>
        <w:tabs>
          <w:tab w:val="num" w:pos="576"/>
        </w:tabs>
        <w:ind w:left="576" w:hanging="576"/>
      </w:pPr>
    </w:lvl>
    <w:lvl w:ilvl="2">
      <w:start w:val="1"/>
      <w:numFmt w:val="none"/>
      <w:pStyle w:val="Cmsor3"/>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38DD40DB"/>
    <w:multiLevelType w:val="multilevel"/>
    <w:tmpl w:val="B9CEB9B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4B8914F3"/>
    <w:multiLevelType w:val="multilevel"/>
    <w:tmpl w:val="B34CD678"/>
    <w:lvl w:ilvl="0">
      <w:start w:val="1"/>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3D8D"/>
    <w:rsid w:val="00107B93"/>
    <w:rsid w:val="00324CB3"/>
    <w:rsid w:val="006A77DF"/>
    <w:rsid w:val="006D59E5"/>
    <w:rsid w:val="006E2187"/>
    <w:rsid w:val="007C0325"/>
    <w:rsid w:val="00802628"/>
    <w:rsid w:val="00B53D8D"/>
    <w:rsid w:val="00CF2480"/>
    <w:rsid w:val="00D92D5C"/>
    <w:rsid w:val="00EB7C30"/>
    <w:rsid w:val="00FC12BD"/>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Liberation Serif" w:eastAsia="WenQuanYi Zen Hei Sharp" w:hAnsi="Liberation Serif" w:cs="Lohit Devanagari"/>
        <w:sz w:val="24"/>
        <w:szCs w:val="24"/>
        <w:lang w:val="en-US"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pPr>
      <w:widowControl w:val="0"/>
      <w:suppressAutoHyphens/>
    </w:pPr>
  </w:style>
  <w:style w:type="paragraph" w:styleId="Cmsor1">
    <w:name w:val="heading 1"/>
    <w:basedOn w:val="Heading"/>
    <w:next w:val="TextBody"/>
    <w:qFormat/>
    <w:pPr>
      <w:numPr>
        <w:numId w:val="1"/>
      </w:numPr>
      <w:outlineLvl w:val="0"/>
    </w:pPr>
    <w:rPr>
      <w:b/>
      <w:bCs/>
      <w:sz w:val="36"/>
      <w:szCs w:val="36"/>
    </w:rPr>
  </w:style>
  <w:style w:type="paragraph" w:styleId="Cmsor2">
    <w:name w:val="heading 2"/>
    <w:basedOn w:val="Heading"/>
    <w:next w:val="TextBody"/>
    <w:qFormat/>
    <w:pPr>
      <w:numPr>
        <w:ilvl w:val="1"/>
        <w:numId w:val="1"/>
      </w:numPr>
      <w:spacing w:before="200"/>
      <w:outlineLvl w:val="1"/>
    </w:pPr>
    <w:rPr>
      <w:b/>
      <w:bCs/>
      <w:sz w:val="32"/>
      <w:szCs w:val="32"/>
    </w:rPr>
  </w:style>
  <w:style w:type="paragraph" w:styleId="Cmsor3">
    <w:name w:val="heading 3"/>
    <w:basedOn w:val="Heading"/>
    <w:next w:val="TextBody"/>
    <w:qFormat/>
    <w:pPr>
      <w:numPr>
        <w:ilvl w:val="2"/>
        <w:numId w:val="1"/>
      </w:numPr>
      <w:spacing w:before="140"/>
      <w:outlineLvl w:val="2"/>
    </w:pPr>
    <w:rPr>
      <w:b/>
      <w:bCs/>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NumberingSymbols">
    <w:name w:val="Numbering Symbols"/>
    <w:qFormat/>
  </w:style>
  <w:style w:type="paragraph" w:customStyle="1" w:styleId="Heading">
    <w:name w:val="Heading"/>
    <w:basedOn w:val="Norml"/>
    <w:next w:val="TextBody"/>
    <w:qFormat/>
    <w:pPr>
      <w:keepNext/>
      <w:spacing w:before="240" w:after="120"/>
    </w:pPr>
    <w:rPr>
      <w:rFonts w:ascii="Liberation Sans" w:hAnsi="Liberation Sans"/>
      <w:sz w:val="28"/>
      <w:szCs w:val="28"/>
    </w:rPr>
  </w:style>
  <w:style w:type="paragraph" w:customStyle="1" w:styleId="TextBody">
    <w:name w:val="Text Body"/>
    <w:basedOn w:val="Norml"/>
    <w:pPr>
      <w:spacing w:after="120"/>
    </w:pPr>
  </w:style>
  <w:style w:type="paragraph" w:styleId="Lista">
    <w:name w:val="List"/>
    <w:basedOn w:val="TextBody"/>
  </w:style>
  <w:style w:type="paragraph" w:styleId="Kpalrs">
    <w:name w:val="caption"/>
    <w:basedOn w:val="Norml"/>
    <w:qFormat/>
    <w:pPr>
      <w:suppressLineNumbers/>
      <w:spacing w:before="120" w:after="120"/>
    </w:pPr>
    <w:rPr>
      <w:i/>
      <w:iCs/>
    </w:rPr>
  </w:style>
  <w:style w:type="paragraph" w:customStyle="1" w:styleId="Index">
    <w:name w:val="Index"/>
    <w:basedOn w:val="Norml"/>
    <w:qFormat/>
    <w:pPr>
      <w:suppressLineNumbers/>
    </w:pPr>
  </w:style>
  <w:style w:type="paragraph" w:customStyle="1" w:styleId="Quotations">
    <w:name w:val="Quotations"/>
    <w:basedOn w:val="Norml"/>
    <w:qFormat/>
    <w:pPr>
      <w:spacing w:after="283"/>
      <w:ind w:left="567" w:right="567"/>
    </w:pPr>
  </w:style>
  <w:style w:type="paragraph" w:styleId="Cm">
    <w:name w:val="Title"/>
    <w:basedOn w:val="Heading"/>
    <w:next w:val="TextBody"/>
    <w:qFormat/>
    <w:pPr>
      <w:jc w:val="center"/>
    </w:pPr>
    <w:rPr>
      <w:b/>
      <w:bCs/>
      <w:sz w:val="56"/>
      <w:szCs w:val="56"/>
    </w:rPr>
  </w:style>
  <w:style w:type="paragraph" w:styleId="Alcm">
    <w:name w:val="Subtitle"/>
    <w:basedOn w:val="Heading"/>
    <w:next w:val="TextBody"/>
    <w:qFormat/>
    <w:pPr>
      <w:spacing w:before="60"/>
      <w:jc w:val="center"/>
    </w:pPr>
    <w:rPr>
      <w:sz w:val="36"/>
      <w:szCs w:val="36"/>
    </w:rPr>
  </w:style>
  <w:style w:type="paragraph" w:styleId="lfej">
    <w:name w:val="header"/>
    <w:basedOn w:val="Norml"/>
    <w:link w:val="lfejChar"/>
    <w:uiPriority w:val="99"/>
    <w:unhideWhenUsed/>
    <w:rsid w:val="006D59E5"/>
    <w:pPr>
      <w:tabs>
        <w:tab w:val="center" w:pos="4536"/>
        <w:tab w:val="right" w:pos="9072"/>
      </w:tabs>
    </w:pPr>
    <w:rPr>
      <w:rFonts w:cs="Mangal"/>
      <w:szCs w:val="21"/>
    </w:rPr>
  </w:style>
  <w:style w:type="character" w:customStyle="1" w:styleId="lfejChar">
    <w:name w:val="Élőfej Char"/>
    <w:basedOn w:val="Bekezdsalapbettpusa"/>
    <w:link w:val="lfej"/>
    <w:uiPriority w:val="99"/>
    <w:rsid w:val="006D59E5"/>
    <w:rPr>
      <w:rFonts w:cs="Mangal"/>
      <w:szCs w:val="21"/>
    </w:rPr>
  </w:style>
  <w:style w:type="paragraph" w:styleId="llb">
    <w:name w:val="footer"/>
    <w:basedOn w:val="Norml"/>
    <w:link w:val="llbChar"/>
    <w:uiPriority w:val="99"/>
    <w:unhideWhenUsed/>
    <w:rsid w:val="006D59E5"/>
    <w:pPr>
      <w:tabs>
        <w:tab w:val="center" w:pos="4536"/>
        <w:tab w:val="right" w:pos="9072"/>
      </w:tabs>
    </w:pPr>
    <w:rPr>
      <w:rFonts w:cs="Mangal"/>
      <w:szCs w:val="21"/>
    </w:rPr>
  </w:style>
  <w:style w:type="character" w:customStyle="1" w:styleId="llbChar">
    <w:name w:val="Élőláb Char"/>
    <w:basedOn w:val="Bekezdsalapbettpusa"/>
    <w:link w:val="llb"/>
    <w:uiPriority w:val="99"/>
    <w:rsid w:val="006D59E5"/>
    <w:rPr>
      <w:rFonts w:cs="Mangal"/>
      <w:szCs w:val="21"/>
    </w:rPr>
  </w:style>
  <w:style w:type="paragraph" w:styleId="Buborkszveg">
    <w:name w:val="Balloon Text"/>
    <w:basedOn w:val="Norml"/>
    <w:link w:val="BuborkszvegChar"/>
    <w:uiPriority w:val="99"/>
    <w:semiHidden/>
    <w:unhideWhenUsed/>
    <w:rsid w:val="006D59E5"/>
    <w:rPr>
      <w:rFonts w:ascii="Tahoma" w:hAnsi="Tahoma" w:cs="Mangal"/>
      <w:sz w:val="16"/>
      <w:szCs w:val="14"/>
    </w:rPr>
  </w:style>
  <w:style w:type="character" w:customStyle="1" w:styleId="BuborkszvegChar">
    <w:name w:val="Buborékszöveg Char"/>
    <w:basedOn w:val="Bekezdsalapbettpusa"/>
    <w:link w:val="Buborkszveg"/>
    <w:uiPriority w:val="99"/>
    <w:semiHidden/>
    <w:rsid w:val="006D59E5"/>
    <w:rPr>
      <w:rFonts w:ascii="Tahoma" w:hAnsi="Tahoma" w:cs="Mangal"/>
      <w:sz w:val="16"/>
      <w:szCs w:val="1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Liberation Serif" w:eastAsia="WenQuanYi Zen Hei Sharp" w:hAnsi="Liberation Serif" w:cs="Lohit Devanagari"/>
        <w:sz w:val="24"/>
        <w:szCs w:val="24"/>
        <w:lang w:val="en-US"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pPr>
      <w:widowControl w:val="0"/>
      <w:suppressAutoHyphens/>
    </w:pPr>
  </w:style>
  <w:style w:type="paragraph" w:styleId="Cmsor1">
    <w:name w:val="heading 1"/>
    <w:basedOn w:val="Heading"/>
    <w:next w:val="TextBody"/>
    <w:qFormat/>
    <w:pPr>
      <w:numPr>
        <w:numId w:val="1"/>
      </w:numPr>
      <w:outlineLvl w:val="0"/>
    </w:pPr>
    <w:rPr>
      <w:b/>
      <w:bCs/>
      <w:sz w:val="36"/>
      <w:szCs w:val="36"/>
    </w:rPr>
  </w:style>
  <w:style w:type="paragraph" w:styleId="Cmsor2">
    <w:name w:val="heading 2"/>
    <w:basedOn w:val="Heading"/>
    <w:next w:val="TextBody"/>
    <w:qFormat/>
    <w:pPr>
      <w:numPr>
        <w:ilvl w:val="1"/>
        <w:numId w:val="1"/>
      </w:numPr>
      <w:spacing w:before="200"/>
      <w:outlineLvl w:val="1"/>
    </w:pPr>
    <w:rPr>
      <w:b/>
      <w:bCs/>
      <w:sz w:val="32"/>
      <w:szCs w:val="32"/>
    </w:rPr>
  </w:style>
  <w:style w:type="paragraph" w:styleId="Cmsor3">
    <w:name w:val="heading 3"/>
    <w:basedOn w:val="Heading"/>
    <w:next w:val="TextBody"/>
    <w:qFormat/>
    <w:pPr>
      <w:numPr>
        <w:ilvl w:val="2"/>
        <w:numId w:val="1"/>
      </w:numPr>
      <w:spacing w:before="140"/>
      <w:outlineLvl w:val="2"/>
    </w:pPr>
    <w:rPr>
      <w:b/>
      <w:bCs/>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NumberingSymbols">
    <w:name w:val="Numbering Symbols"/>
    <w:qFormat/>
  </w:style>
  <w:style w:type="paragraph" w:customStyle="1" w:styleId="Heading">
    <w:name w:val="Heading"/>
    <w:basedOn w:val="Norml"/>
    <w:next w:val="TextBody"/>
    <w:qFormat/>
    <w:pPr>
      <w:keepNext/>
      <w:spacing w:before="240" w:after="120"/>
    </w:pPr>
    <w:rPr>
      <w:rFonts w:ascii="Liberation Sans" w:hAnsi="Liberation Sans"/>
      <w:sz w:val="28"/>
      <w:szCs w:val="28"/>
    </w:rPr>
  </w:style>
  <w:style w:type="paragraph" w:customStyle="1" w:styleId="TextBody">
    <w:name w:val="Text Body"/>
    <w:basedOn w:val="Norml"/>
    <w:pPr>
      <w:spacing w:after="120"/>
    </w:pPr>
  </w:style>
  <w:style w:type="paragraph" w:styleId="Lista">
    <w:name w:val="List"/>
    <w:basedOn w:val="TextBody"/>
  </w:style>
  <w:style w:type="paragraph" w:styleId="Kpalrs">
    <w:name w:val="caption"/>
    <w:basedOn w:val="Norml"/>
    <w:qFormat/>
    <w:pPr>
      <w:suppressLineNumbers/>
      <w:spacing w:before="120" w:after="120"/>
    </w:pPr>
    <w:rPr>
      <w:i/>
      <w:iCs/>
    </w:rPr>
  </w:style>
  <w:style w:type="paragraph" w:customStyle="1" w:styleId="Index">
    <w:name w:val="Index"/>
    <w:basedOn w:val="Norml"/>
    <w:qFormat/>
    <w:pPr>
      <w:suppressLineNumbers/>
    </w:pPr>
  </w:style>
  <w:style w:type="paragraph" w:customStyle="1" w:styleId="Quotations">
    <w:name w:val="Quotations"/>
    <w:basedOn w:val="Norml"/>
    <w:qFormat/>
    <w:pPr>
      <w:spacing w:after="283"/>
      <w:ind w:left="567" w:right="567"/>
    </w:pPr>
  </w:style>
  <w:style w:type="paragraph" w:styleId="Cm">
    <w:name w:val="Title"/>
    <w:basedOn w:val="Heading"/>
    <w:next w:val="TextBody"/>
    <w:qFormat/>
    <w:pPr>
      <w:jc w:val="center"/>
    </w:pPr>
    <w:rPr>
      <w:b/>
      <w:bCs/>
      <w:sz w:val="56"/>
      <w:szCs w:val="56"/>
    </w:rPr>
  </w:style>
  <w:style w:type="paragraph" w:styleId="Alcm">
    <w:name w:val="Subtitle"/>
    <w:basedOn w:val="Heading"/>
    <w:next w:val="TextBody"/>
    <w:qFormat/>
    <w:pPr>
      <w:spacing w:before="60"/>
      <w:jc w:val="center"/>
    </w:pPr>
    <w:rPr>
      <w:sz w:val="36"/>
      <w:szCs w:val="36"/>
    </w:rPr>
  </w:style>
  <w:style w:type="paragraph" w:styleId="lfej">
    <w:name w:val="header"/>
    <w:basedOn w:val="Norml"/>
    <w:link w:val="lfejChar"/>
    <w:uiPriority w:val="99"/>
    <w:unhideWhenUsed/>
    <w:rsid w:val="006D59E5"/>
    <w:pPr>
      <w:tabs>
        <w:tab w:val="center" w:pos="4536"/>
        <w:tab w:val="right" w:pos="9072"/>
      </w:tabs>
    </w:pPr>
    <w:rPr>
      <w:rFonts w:cs="Mangal"/>
      <w:szCs w:val="21"/>
    </w:rPr>
  </w:style>
  <w:style w:type="character" w:customStyle="1" w:styleId="lfejChar">
    <w:name w:val="Élőfej Char"/>
    <w:basedOn w:val="Bekezdsalapbettpusa"/>
    <w:link w:val="lfej"/>
    <w:uiPriority w:val="99"/>
    <w:rsid w:val="006D59E5"/>
    <w:rPr>
      <w:rFonts w:cs="Mangal"/>
      <w:szCs w:val="21"/>
    </w:rPr>
  </w:style>
  <w:style w:type="paragraph" w:styleId="llb">
    <w:name w:val="footer"/>
    <w:basedOn w:val="Norml"/>
    <w:link w:val="llbChar"/>
    <w:uiPriority w:val="99"/>
    <w:unhideWhenUsed/>
    <w:rsid w:val="006D59E5"/>
    <w:pPr>
      <w:tabs>
        <w:tab w:val="center" w:pos="4536"/>
        <w:tab w:val="right" w:pos="9072"/>
      </w:tabs>
    </w:pPr>
    <w:rPr>
      <w:rFonts w:cs="Mangal"/>
      <w:szCs w:val="21"/>
    </w:rPr>
  </w:style>
  <w:style w:type="character" w:customStyle="1" w:styleId="llbChar">
    <w:name w:val="Élőláb Char"/>
    <w:basedOn w:val="Bekezdsalapbettpusa"/>
    <w:link w:val="llb"/>
    <w:uiPriority w:val="99"/>
    <w:rsid w:val="006D59E5"/>
    <w:rPr>
      <w:rFonts w:cs="Mangal"/>
      <w:szCs w:val="21"/>
    </w:rPr>
  </w:style>
  <w:style w:type="paragraph" w:styleId="Buborkszveg">
    <w:name w:val="Balloon Text"/>
    <w:basedOn w:val="Norml"/>
    <w:link w:val="BuborkszvegChar"/>
    <w:uiPriority w:val="99"/>
    <w:semiHidden/>
    <w:unhideWhenUsed/>
    <w:rsid w:val="006D59E5"/>
    <w:rPr>
      <w:rFonts w:ascii="Tahoma" w:hAnsi="Tahoma" w:cs="Mangal"/>
      <w:sz w:val="16"/>
      <w:szCs w:val="14"/>
    </w:rPr>
  </w:style>
  <w:style w:type="character" w:customStyle="1" w:styleId="BuborkszvegChar">
    <w:name w:val="Buborékszöveg Char"/>
    <w:basedOn w:val="Bekezdsalapbettpusa"/>
    <w:link w:val="Buborkszveg"/>
    <w:uiPriority w:val="99"/>
    <w:semiHidden/>
    <w:rsid w:val="006D59E5"/>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715</Words>
  <Characters>4939</Characters>
  <Application>Microsoft Office Word</Application>
  <DocSecurity>0</DocSecurity>
  <Lines>41</Lines>
  <Paragraphs>11</Paragraphs>
  <ScaleCrop>false</ScaleCrop>
  <HeadingPairs>
    <vt:vector size="2" baseType="variant">
      <vt:variant>
        <vt:lpstr>Cím</vt:lpstr>
      </vt:variant>
      <vt:variant>
        <vt:i4>1</vt:i4>
      </vt:variant>
    </vt:vector>
  </HeadingPairs>
  <TitlesOfParts>
    <vt:vector size="1" baseType="lpstr">
      <vt:lpstr>A4</vt:lpstr>
    </vt:vector>
  </TitlesOfParts>
  <Company>Hewlett-Packard Company</Company>
  <LinksUpToDate>false</LinksUpToDate>
  <CharactersWithSpaces>5643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A4</dc:title>
  <dc:creator>Dékán</dc:creator>
  <cp:lastModifiedBy>Klára</cp:lastModifiedBy>
  <cp:revision>7</cp:revision>
  <cp:lastPrinted>2016-02-22T08:04:00Z</cp:lastPrinted>
  <dcterms:created xsi:type="dcterms:W3CDTF">2016-02-18T13:01:00Z</dcterms:created>
  <dcterms:modified xsi:type="dcterms:W3CDTF">2016-02-22T08:04:00Z</dcterms:modified>
  <dc:language>hu-HU</dc:language>
</cp:coreProperties>
</file>